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73261" w14:textId="25C14663" w:rsidR="00745EB1" w:rsidRDefault="00FF276E" w:rsidP="00745EB1">
      <w:pPr>
        <w:jc w:val="center"/>
        <w:rPr>
          <w:rFonts w:ascii="Arial" w:hAnsi="Arial" w:cs="Arial"/>
          <w:sz w:val="40"/>
          <w:szCs w:val="40"/>
        </w:rPr>
      </w:pPr>
      <w:r>
        <w:rPr>
          <w:rFonts w:ascii="Arial" w:hAnsi="Arial" w:cs="Arial"/>
          <w:sz w:val="40"/>
          <w:szCs w:val="40"/>
        </w:rPr>
        <w:t>&lt;</w:t>
      </w:r>
      <w:r w:rsidRPr="00E7556C">
        <w:rPr>
          <w:rFonts w:ascii="Arial" w:hAnsi="Arial" w:cs="Arial"/>
          <w:sz w:val="40"/>
          <w:szCs w:val="40"/>
          <w:highlight w:val="yellow"/>
        </w:rPr>
        <w:t>INSERT AGENCY NAME</w:t>
      </w:r>
      <w:r w:rsidR="00BC7C6D" w:rsidRPr="00E7556C">
        <w:rPr>
          <w:rFonts w:ascii="Arial" w:hAnsi="Arial" w:cs="Arial"/>
          <w:sz w:val="40"/>
          <w:szCs w:val="40"/>
          <w:highlight w:val="yellow"/>
        </w:rPr>
        <w:t>(S)</w:t>
      </w:r>
      <w:r>
        <w:rPr>
          <w:rFonts w:ascii="Arial" w:hAnsi="Arial" w:cs="Arial"/>
          <w:sz w:val="40"/>
          <w:szCs w:val="40"/>
        </w:rPr>
        <w:t>&gt;</w:t>
      </w:r>
      <w:r w:rsidR="00745EB1" w:rsidRPr="00DC304C">
        <w:rPr>
          <w:rFonts w:ascii="Arial" w:hAnsi="Arial" w:cs="Arial"/>
          <w:sz w:val="40"/>
          <w:szCs w:val="40"/>
        </w:rPr>
        <w:t xml:space="preserve"> </w:t>
      </w:r>
    </w:p>
    <w:p w14:paraId="231D8E98" w14:textId="69720D72" w:rsidR="00814276" w:rsidRDefault="00A161D9" w:rsidP="00FD4146">
      <w:pPr>
        <w:jc w:val="center"/>
        <w:rPr>
          <w:rFonts w:ascii="Arial" w:hAnsi="Arial" w:cs="Arial"/>
          <w:sz w:val="38"/>
          <w:szCs w:val="38"/>
        </w:rPr>
      </w:pPr>
      <w:r w:rsidRPr="00BA5F95">
        <w:rPr>
          <w:rFonts w:ascii="Arial" w:hAnsi="Arial" w:cs="Arial"/>
          <w:sz w:val="38"/>
          <w:szCs w:val="38"/>
        </w:rPr>
        <w:t>CJIS</w:t>
      </w:r>
      <w:r w:rsidR="00BA5F95" w:rsidRPr="00BA5F95">
        <w:rPr>
          <w:rFonts w:ascii="Arial" w:hAnsi="Arial" w:cs="Arial"/>
          <w:sz w:val="38"/>
          <w:szCs w:val="38"/>
        </w:rPr>
        <w:t>/CHRI</w:t>
      </w:r>
      <w:r w:rsidRPr="00BA5F95">
        <w:rPr>
          <w:rFonts w:ascii="Arial" w:hAnsi="Arial" w:cs="Arial"/>
          <w:sz w:val="38"/>
          <w:szCs w:val="38"/>
        </w:rPr>
        <w:t xml:space="preserve"> </w:t>
      </w:r>
      <w:r w:rsidR="00BC7C6D">
        <w:rPr>
          <w:rFonts w:ascii="Arial" w:hAnsi="Arial" w:cs="Arial"/>
          <w:sz w:val="38"/>
          <w:szCs w:val="38"/>
        </w:rPr>
        <w:t xml:space="preserve">Data Breach </w:t>
      </w:r>
      <w:r w:rsidR="0099409D">
        <w:rPr>
          <w:rFonts w:ascii="Arial" w:hAnsi="Arial" w:cs="Arial"/>
          <w:sz w:val="38"/>
          <w:szCs w:val="38"/>
        </w:rPr>
        <w:t>Reporting</w:t>
      </w:r>
    </w:p>
    <w:p w14:paraId="15C2ACB6" w14:textId="77777777" w:rsidR="0099409D" w:rsidRDefault="0099409D" w:rsidP="00FD4146">
      <w:pPr>
        <w:jc w:val="center"/>
        <w:rPr>
          <w:rFonts w:ascii="Arial" w:hAnsi="Arial" w:cs="Arial"/>
          <w:sz w:val="28"/>
          <w:szCs w:val="28"/>
        </w:rPr>
      </w:pPr>
    </w:p>
    <w:tbl>
      <w:tblPr>
        <w:tblW w:w="9468" w:type="dxa"/>
        <w:jc w:val="center"/>
        <w:tblLook w:val="04A0" w:firstRow="1" w:lastRow="0" w:firstColumn="1" w:lastColumn="0" w:noHBand="0" w:noVBand="1"/>
      </w:tblPr>
      <w:tblGrid>
        <w:gridCol w:w="9468"/>
      </w:tblGrid>
      <w:tr w:rsidR="005D28F6" w14:paraId="53E86AE1" w14:textId="77777777" w:rsidTr="005D28F6">
        <w:trPr>
          <w:trHeight w:val="2292"/>
          <w:jc w:val="center"/>
        </w:trPr>
        <w:tc>
          <w:tcPr>
            <w:tcW w:w="9468" w:type="dxa"/>
            <w:tcBorders>
              <w:top w:val="single" w:sz="48" w:space="0" w:color="auto"/>
              <w:left w:val="single" w:sz="48" w:space="0" w:color="auto"/>
              <w:bottom w:val="single" w:sz="48" w:space="0" w:color="auto"/>
              <w:right w:val="single" w:sz="48" w:space="0" w:color="auto"/>
            </w:tcBorders>
            <w:shd w:val="clear" w:color="auto" w:fill="C00000"/>
            <w:vAlign w:val="center"/>
          </w:tcPr>
          <w:p w14:paraId="7F4B1C42" w14:textId="31C7C62B" w:rsidR="005D28F6" w:rsidRDefault="005D28F6">
            <w:pPr>
              <w:rPr>
                <w:rFonts w:ascii="Arial" w:hAnsi="Arial" w:cs="Arial"/>
                <w:i/>
                <w:color w:val="FFFFFF"/>
                <w:szCs w:val="28"/>
              </w:rPr>
            </w:pPr>
            <w:r>
              <w:rPr>
                <w:rFonts w:ascii="Arial" w:hAnsi="Arial" w:cs="Arial"/>
                <w:i/>
                <w:color w:val="FFFFFF"/>
                <w:szCs w:val="28"/>
              </w:rPr>
              <w:t xml:space="preserve">The purpose of this template is to </w:t>
            </w:r>
            <w:r>
              <w:rPr>
                <w:rFonts w:ascii="Arial" w:hAnsi="Arial" w:cs="Arial"/>
                <w:i/>
                <w:color w:val="FFFFFF"/>
                <w:szCs w:val="28"/>
                <w:u w:val="single"/>
              </w:rPr>
              <w:t>assist</w:t>
            </w:r>
            <w:r>
              <w:rPr>
                <w:rFonts w:ascii="Arial" w:hAnsi="Arial" w:cs="Arial"/>
                <w:i/>
                <w:color w:val="FFFFFF"/>
                <w:szCs w:val="28"/>
              </w:rPr>
              <w:t xml:space="preserve"> your agency in creating its own procedures.  These are the minimum topics that must be covered</w:t>
            </w:r>
            <w:r w:rsidR="00E7556C">
              <w:rPr>
                <w:rFonts w:ascii="Arial" w:hAnsi="Arial" w:cs="Arial"/>
                <w:i/>
                <w:color w:val="FFFFFF"/>
                <w:szCs w:val="28"/>
              </w:rPr>
              <w:t>:</w:t>
            </w:r>
          </w:p>
          <w:p w14:paraId="1B9D27CF" w14:textId="770CF4C2" w:rsidR="00BC7C6D" w:rsidRDefault="00BC7C6D">
            <w:pPr>
              <w:rPr>
                <w:rFonts w:ascii="Arial" w:hAnsi="Arial" w:cs="Arial"/>
                <w:i/>
                <w:color w:val="FFFFFF"/>
                <w:szCs w:val="28"/>
              </w:rPr>
            </w:pPr>
          </w:p>
          <w:p w14:paraId="4716AF09" w14:textId="76AD91C7" w:rsidR="00BC7C6D" w:rsidRDefault="00BC7C6D">
            <w:pPr>
              <w:rPr>
                <w:rFonts w:ascii="Arial" w:hAnsi="Arial" w:cs="Arial"/>
                <w:i/>
                <w:color w:val="FFFFFF"/>
                <w:szCs w:val="28"/>
              </w:rPr>
            </w:pPr>
            <w:r>
              <w:rPr>
                <w:rFonts w:ascii="Arial" w:hAnsi="Arial" w:cs="Arial"/>
                <w:i/>
                <w:color w:val="FFFFFF"/>
                <w:szCs w:val="28"/>
              </w:rPr>
              <w:t>*****This document can cover multiple agencies supported by the same IT team*****</w:t>
            </w:r>
          </w:p>
          <w:p w14:paraId="65297B08" w14:textId="77777777" w:rsidR="00BC7C6D" w:rsidRDefault="00BC7C6D">
            <w:pPr>
              <w:rPr>
                <w:rFonts w:ascii="Arial" w:hAnsi="Arial" w:cs="Arial"/>
                <w:i/>
                <w:color w:val="FFFFFF"/>
                <w:szCs w:val="28"/>
              </w:rPr>
            </w:pPr>
          </w:p>
          <w:p w14:paraId="7F87FC3F" w14:textId="77777777" w:rsidR="005D28F6" w:rsidRDefault="005D28F6" w:rsidP="005D28F6">
            <w:pPr>
              <w:pStyle w:val="ListParagraph"/>
              <w:numPr>
                <w:ilvl w:val="0"/>
                <w:numId w:val="7"/>
              </w:numPr>
              <w:tabs>
                <w:tab w:val="left" w:pos="1005"/>
              </w:tabs>
              <w:spacing w:after="200" w:line="276" w:lineRule="auto"/>
              <w:contextualSpacing/>
              <w:rPr>
                <w:rFonts w:ascii="Arial" w:hAnsi="Arial" w:cs="Arial"/>
                <w:i/>
                <w:color w:val="FFFFFF"/>
                <w:szCs w:val="28"/>
              </w:rPr>
            </w:pPr>
            <w:r>
              <w:rPr>
                <w:rFonts w:ascii="Arial" w:hAnsi="Arial" w:cs="Arial"/>
                <w:i/>
                <w:color w:val="FFFFFF"/>
                <w:szCs w:val="28"/>
              </w:rPr>
              <w:t>The items below in red must be specific and reflect your agency’s current practices.</w:t>
            </w:r>
          </w:p>
          <w:p w14:paraId="1EE4FFCA" w14:textId="77777777" w:rsidR="005D28F6" w:rsidRDefault="005D28F6" w:rsidP="005D28F6">
            <w:pPr>
              <w:pStyle w:val="ListParagraph"/>
              <w:numPr>
                <w:ilvl w:val="0"/>
                <w:numId w:val="7"/>
              </w:numPr>
              <w:tabs>
                <w:tab w:val="left" w:pos="1005"/>
              </w:tabs>
              <w:spacing w:after="200" w:line="276" w:lineRule="auto"/>
              <w:contextualSpacing/>
              <w:rPr>
                <w:rFonts w:ascii="Arial" w:hAnsi="Arial" w:cs="Arial"/>
                <w:i/>
                <w:color w:val="FFFFFF"/>
                <w:szCs w:val="28"/>
              </w:rPr>
            </w:pPr>
            <w:r>
              <w:rPr>
                <w:rFonts w:ascii="Arial" w:hAnsi="Arial" w:cs="Arial"/>
                <w:i/>
                <w:color w:val="FFFFFF"/>
                <w:szCs w:val="28"/>
              </w:rPr>
              <w:t>Remove any items that are not applicable to your agency.</w:t>
            </w:r>
          </w:p>
          <w:p w14:paraId="5235A872" w14:textId="77777777" w:rsidR="005D28F6" w:rsidRDefault="005D28F6" w:rsidP="005D28F6">
            <w:pPr>
              <w:pStyle w:val="ListParagraph"/>
              <w:numPr>
                <w:ilvl w:val="0"/>
                <w:numId w:val="7"/>
              </w:numPr>
              <w:tabs>
                <w:tab w:val="left" w:pos="1005"/>
              </w:tabs>
              <w:spacing w:after="200" w:line="276" w:lineRule="auto"/>
              <w:contextualSpacing/>
              <w:rPr>
                <w:rFonts w:ascii="Arial" w:hAnsi="Arial" w:cs="Arial"/>
                <w:i/>
                <w:color w:val="FFFFFF"/>
                <w:szCs w:val="28"/>
              </w:rPr>
            </w:pPr>
            <w:r>
              <w:rPr>
                <w:rFonts w:ascii="Arial" w:hAnsi="Arial" w:cs="Arial"/>
                <w:i/>
                <w:szCs w:val="28"/>
              </w:rPr>
              <w:t>Formalize with the date and your agency name.</w:t>
            </w:r>
          </w:p>
          <w:p w14:paraId="6F8C02DD" w14:textId="77777777" w:rsidR="005D28F6" w:rsidRDefault="005D28F6" w:rsidP="005D28F6">
            <w:pPr>
              <w:pStyle w:val="ListParagraph"/>
              <w:numPr>
                <w:ilvl w:val="0"/>
                <w:numId w:val="7"/>
              </w:numPr>
              <w:tabs>
                <w:tab w:val="left" w:pos="1005"/>
              </w:tabs>
              <w:spacing w:line="276" w:lineRule="auto"/>
              <w:contextualSpacing/>
              <w:rPr>
                <w:rFonts w:ascii="Arial" w:hAnsi="Arial" w:cs="Arial"/>
                <w:i/>
                <w:color w:val="FFFFFF"/>
                <w:szCs w:val="28"/>
              </w:rPr>
            </w:pPr>
            <w:r>
              <w:rPr>
                <w:rFonts w:ascii="Arial" w:hAnsi="Arial" w:cs="Arial"/>
                <w:i/>
                <w:szCs w:val="28"/>
              </w:rPr>
              <w:t>Remove the red box once the procedure is updated and completed.</w:t>
            </w:r>
          </w:p>
          <w:p w14:paraId="6956D63D" w14:textId="77777777" w:rsidR="005D28F6" w:rsidRDefault="005D28F6">
            <w:pPr>
              <w:pStyle w:val="ListParagraph"/>
              <w:tabs>
                <w:tab w:val="left" w:pos="1005"/>
              </w:tabs>
              <w:rPr>
                <w:rFonts w:ascii="Arial" w:hAnsi="Arial" w:cs="Arial"/>
                <w:i/>
                <w:color w:val="FFFFFF"/>
                <w:szCs w:val="28"/>
              </w:rPr>
            </w:pPr>
          </w:p>
          <w:p w14:paraId="4365C909" w14:textId="77777777" w:rsidR="005D28F6" w:rsidRDefault="005D28F6">
            <w:pPr>
              <w:rPr>
                <w:rFonts w:ascii="Arial" w:hAnsi="Arial" w:cs="Arial"/>
                <w:i/>
                <w:color w:val="FFFFFF"/>
                <w:szCs w:val="28"/>
              </w:rPr>
            </w:pPr>
            <w:r>
              <w:rPr>
                <w:rFonts w:ascii="Arial" w:hAnsi="Arial" w:cs="Arial"/>
                <w:i/>
                <w:color w:val="FFFFFF"/>
                <w:szCs w:val="28"/>
              </w:rPr>
              <w:t>If your procedure does not reflect the actual practice at your agency, then you will be found out of compliance.</w:t>
            </w:r>
          </w:p>
          <w:p w14:paraId="32DE472C" w14:textId="77777777" w:rsidR="005D28F6" w:rsidRDefault="005D28F6">
            <w:pPr>
              <w:rPr>
                <w:rFonts w:ascii="Arial" w:hAnsi="Arial" w:cs="Arial"/>
                <w:i/>
                <w:color w:val="FFFFFF"/>
                <w:szCs w:val="28"/>
              </w:rPr>
            </w:pPr>
          </w:p>
          <w:p w14:paraId="145D21DA" w14:textId="1B11B821" w:rsidR="005D28F6" w:rsidRDefault="005D28F6" w:rsidP="007C2228">
            <w:pPr>
              <w:rPr>
                <w:rFonts w:ascii="Arial" w:hAnsi="Arial" w:cs="Arial"/>
                <w:i/>
                <w:color w:val="FFFFFF"/>
                <w:sz w:val="28"/>
                <w:szCs w:val="28"/>
              </w:rPr>
            </w:pPr>
            <w:r>
              <w:rPr>
                <w:rFonts w:ascii="Arial" w:hAnsi="Arial" w:cs="Arial"/>
                <w:i/>
                <w:color w:val="FFFFFF" w:themeColor="background1"/>
                <w:sz w:val="18"/>
                <w:szCs w:val="18"/>
              </w:rPr>
              <w:t xml:space="preserve">ACCESS Section revised </w:t>
            </w:r>
            <w:r w:rsidR="007C2228">
              <w:rPr>
                <w:rFonts w:ascii="Arial" w:hAnsi="Arial" w:cs="Arial"/>
                <w:i/>
                <w:color w:val="FFFFFF" w:themeColor="background1"/>
                <w:sz w:val="18"/>
                <w:szCs w:val="18"/>
              </w:rPr>
              <w:t xml:space="preserve">March </w:t>
            </w:r>
            <w:r>
              <w:rPr>
                <w:rFonts w:ascii="Arial" w:hAnsi="Arial" w:cs="Arial"/>
                <w:i/>
                <w:color w:val="FFFFFF" w:themeColor="background1"/>
                <w:sz w:val="18"/>
                <w:szCs w:val="18"/>
              </w:rPr>
              <w:t>20</w:t>
            </w:r>
            <w:r w:rsidR="0004573F">
              <w:rPr>
                <w:rFonts w:ascii="Arial" w:hAnsi="Arial" w:cs="Arial"/>
                <w:i/>
                <w:color w:val="FFFFFF" w:themeColor="background1"/>
                <w:sz w:val="18"/>
                <w:szCs w:val="18"/>
              </w:rPr>
              <w:t>2</w:t>
            </w:r>
            <w:r w:rsidR="007C2228">
              <w:rPr>
                <w:rFonts w:ascii="Arial" w:hAnsi="Arial" w:cs="Arial"/>
                <w:i/>
                <w:color w:val="FFFFFF" w:themeColor="background1"/>
                <w:sz w:val="18"/>
                <w:szCs w:val="18"/>
              </w:rPr>
              <w:t>1</w:t>
            </w:r>
          </w:p>
        </w:tc>
      </w:tr>
    </w:tbl>
    <w:p w14:paraId="051A3CB0" w14:textId="77777777" w:rsidR="005D28F6" w:rsidRDefault="005D28F6" w:rsidP="00B762D9">
      <w:pPr>
        <w:pStyle w:val="Default"/>
        <w:rPr>
          <w:b/>
          <w:bCs/>
        </w:rPr>
      </w:pPr>
    </w:p>
    <w:p w14:paraId="3563AE7F" w14:textId="2DAA9B72" w:rsidR="00B762D9" w:rsidRPr="00BA5F95" w:rsidRDefault="00B762D9" w:rsidP="00B762D9">
      <w:pPr>
        <w:pStyle w:val="Default"/>
      </w:pPr>
      <w:r w:rsidRPr="00BA5F95">
        <w:rPr>
          <w:b/>
          <w:bCs/>
        </w:rPr>
        <w:t xml:space="preserve">Incident Response </w:t>
      </w:r>
    </w:p>
    <w:p w14:paraId="39F5E7FE" w14:textId="77777777" w:rsidR="007C2228" w:rsidRDefault="00B762D9" w:rsidP="00B762D9">
      <w:pPr>
        <w:pStyle w:val="Default"/>
      </w:pPr>
      <w:r w:rsidRPr="00BA5F95">
        <w:t>The security risk of both accidental and malicious attacks against government and private agencies, remains persistent in both physical and logical environments. To ensure protection of C</w:t>
      </w:r>
      <w:r w:rsidR="00646341" w:rsidRPr="00BA5F95">
        <w:t>riminal Justice Information (C</w:t>
      </w:r>
      <w:r w:rsidRPr="00BA5F95">
        <w:t>JI</w:t>
      </w:r>
      <w:r w:rsidR="00646341" w:rsidRPr="00BA5F95">
        <w:t>)</w:t>
      </w:r>
      <w:r w:rsidRPr="00BA5F95">
        <w:t xml:space="preserve">, agencies shall: </w:t>
      </w:r>
    </w:p>
    <w:p w14:paraId="63D4CAF3" w14:textId="11D182B6" w:rsidR="007C2228" w:rsidRDefault="007C2228" w:rsidP="00E7556C">
      <w:pPr>
        <w:pStyle w:val="Default"/>
        <w:numPr>
          <w:ilvl w:val="0"/>
          <w:numId w:val="8"/>
        </w:numPr>
      </w:pPr>
      <w:r>
        <w:t>E</w:t>
      </w:r>
      <w:r w:rsidR="00B762D9" w:rsidRPr="00BA5F95">
        <w:t xml:space="preserve">stablish operational incident handling procedures that include adequate preparation, detection, analysis, containment, recovery, and user response activities; </w:t>
      </w:r>
    </w:p>
    <w:p w14:paraId="4C2A0624" w14:textId="12FADEA8" w:rsidR="00B762D9" w:rsidRPr="00BA5F95" w:rsidRDefault="007C2228" w:rsidP="00E7556C">
      <w:pPr>
        <w:pStyle w:val="Default"/>
        <w:numPr>
          <w:ilvl w:val="0"/>
          <w:numId w:val="8"/>
        </w:numPr>
      </w:pPr>
      <w:r>
        <w:t>T</w:t>
      </w:r>
      <w:r w:rsidR="00B762D9" w:rsidRPr="00BA5F95">
        <w:t xml:space="preserve">rack, document, and report incidents to appropriate agency officials and/or authorities. </w:t>
      </w:r>
    </w:p>
    <w:p w14:paraId="033A8247" w14:textId="77777777" w:rsidR="00B762D9" w:rsidRPr="00BA5F95" w:rsidRDefault="00B762D9" w:rsidP="00B762D9">
      <w:pPr>
        <w:pStyle w:val="Default"/>
        <w:rPr>
          <w:b/>
          <w:bCs/>
        </w:rPr>
      </w:pPr>
    </w:p>
    <w:p w14:paraId="76A4802F" w14:textId="77777777" w:rsidR="00B762D9" w:rsidRPr="00BA5F95" w:rsidRDefault="00B762D9" w:rsidP="00B762D9">
      <w:pPr>
        <w:pStyle w:val="Default"/>
      </w:pPr>
      <w:r w:rsidRPr="00BA5F95">
        <w:rPr>
          <w:b/>
          <w:bCs/>
        </w:rPr>
        <w:t xml:space="preserve">Reporting Security Events </w:t>
      </w:r>
    </w:p>
    <w:p w14:paraId="1FD6733B" w14:textId="56AF66A9" w:rsidR="00646341" w:rsidRPr="00BA5F95" w:rsidRDefault="007C2228" w:rsidP="00B762D9">
      <w:pPr>
        <w:pStyle w:val="Default"/>
      </w:pPr>
      <w:r>
        <w:rPr>
          <w:color w:val="FF0000"/>
        </w:rPr>
        <w:t xml:space="preserve">&lt;Insert </w:t>
      </w:r>
      <w:r w:rsidR="00B762D9" w:rsidRPr="00BA5F95">
        <w:rPr>
          <w:color w:val="FF0000"/>
        </w:rPr>
        <w:t>Agency Name</w:t>
      </w:r>
      <w:r>
        <w:rPr>
          <w:color w:val="FF0000"/>
          <w:sz w:val="28"/>
        </w:rPr>
        <w:t>&gt;</w:t>
      </w:r>
      <w:r w:rsidR="00B762D9" w:rsidRPr="00BA5F95">
        <w:rPr>
          <w:color w:val="FF0000"/>
        </w:rPr>
        <w:t xml:space="preserve"> </w:t>
      </w:r>
      <w:r w:rsidR="00B762D9" w:rsidRPr="00BA5F95">
        <w:rPr>
          <w:color w:val="000000" w:themeColor="text1"/>
        </w:rPr>
        <w:t>sh</w:t>
      </w:r>
      <w:r w:rsidR="00B762D9" w:rsidRPr="00BA5F95">
        <w:t>all promptly report incident information to the ACCESS I</w:t>
      </w:r>
      <w:r w:rsidR="00646341" w:rsidRPr="00BA5F95">
        <w:t>nformation Security Officer (I</w:t>
      </w:r>
      <w:r w:rsidR="00B762D9" w:rsidRPr="00BA5F95">
        <w:t>SO</w:t>
      </w:r>
      <w:r w:rsidR="00646341" w:rsidRPr="00BA5F95">
        <w:t>)</w:t>
      </w:r>
      <w:r w:rsidR="00B762D9" w:rsidRPr="00BA5F95">
        <w:t xml:space="preserve"> by email to </w:t>
      </w:r>
      <w:hyperlink r:id="rId7" w:history="1">
        <w:r w:rsidR="00B762D9" w:rsidRPr="00BA5F95">
          <w:rPr>
            <w:rStyle w:val="Hyperlink"/>
          </w:rPr>
          <w:t>ACCESS@wsp.wa.gov</w:t>
        </w:r>
      </w:hyperlink>
      <w:r w:rsidR="00B762D9" w:rsidRPr="00BA5F95">
        <w:t xml:space="preserve"> using the </w:t>
      </w:r>
      <w:r w:rsidR="00B762D9" w:rsidRPr="00BA5F95">
        <w:rPr>
          <w:i/>
        </w:rPr>
        <w:t>FBI Security Incident Reporting</w:t>
      </w:r>
      <w:r w:rsidR="00646341" w:rsidRPr="00BA5F95">
        <w:rPr>
          <w:i/>
        </w:rPr>
        <w:t xml:space="preserve"> F</w:t>
      </w:r>
      <w:r w:rsidR="00B762D9" w:rsidRPr="00BA5F95">
        <w:rPr>
          <w:i/>
        </w:rPr>
        <w:t>orm</w:t>
      </w:r>
      <w:r w:rsidR="00B762D9" w:rsidRPr="00BA5F95">
        <w:t xml:space="preserve"> available on the ACCESS webpage: </w:t>
      </w:r>
      <w:hyperlink r:id="rId8" w:history="1">
        <w:r w:rsidR="009A137D" w:rsidRPr="00F423C1">
          <w:rPr>
            <w:rStyle w:val="Hyperlink"/>
          </w:rPr>
          <w:t>https://wsp.wa.gov/wp-content/uploads/2023/12/230011_ACCESS_CJIS_Security_Incident_Report_R_6-23.pdf</w:t>
        </w:r>
      </w:hyperlink>
      <w:r w:rsidR="009A137D">
        <w:t xml:space="preserve"> </w:t>
      </w:r>
      <w:r w:rsidR="00BE1225">
        <w:t>t</w:t>
      </w:r>
      <w:r w:rsidR="004A112C">
        <w:t xml:space="preserve">o </w:t>
      </w:r>
      <w:r w:rsidR="00B762D9" w:rsidRPr="00BA5F95">
        <w:t>any authorities appropriate to the local agency.</w:t>
      </w:r>
    </w:p>
    <w:p w14:paraId="010F550F" w14:textId="77777777" w:rsidR="00646341" w:rsidRPr="00BA5F95" w:rsidRDefault="00646341" w:rsidP="00B762D9">
      <w:pPr>
        <w:pStyle w:val="Default"/>
      </w:pPr>
    </w:p>
    <w:p w14:paraId="443EE3E2" w14:textId="6241F513" w:rsidR="00B762D9" w:rsidRPr="00BA5F95" w:rsidRDefault="00B762D9" w:rsidP="00B762D9">
      <w:pPr>
        <w:pStyle w:val="Default"/>
      </w:pPr>
      <w:r w:rsidRPr="00BA5F95">
        <w:t>Security events, including identified weaknesses associated with the event, shall be communicated in a manner allowing timely corrective action to be taken. Formal event reporting and escalation procedures shall be in place. Wherever feasible, the agency shall employ automated mechanisms to assist in the reporting of security incidents. All employees, contractors and third party users shall be made aware of the procedures for reporting the different types of event</w:t>
      </w:r>
      <w:r w:rsidR="00885056">
        <w:t>s</w:t>
      </w:r>
      <w:r w:rsidRPr="00BA5F95">
        <w:t xml:space="preserve"> </w:t>
      </w:r>
      <w:r w:rsidRPr="00BA5F95">
        <w:lastRenderedPageBreak/>
        <w:t xml:space="preserve">and weakness that might have an impact on the security of agency assets and are required to report any security events and weaknesses as quickly as possible to the designated point of contact. </w:t>
      </w:r>
    </w:p>
    <w:p w14:paraId="3BB9413A" w14:textId="638A9E57" w:rsidR="00B762D9" w:rsidRDefault="00B762D9" w:rsidP="00B762D9">
      <w:pPr>
        <w:pStyle w:val="Default"/>
      </w:pPr>
    </w:p>
    <w:p w14:paraId="4D081121" w14:textId="77777777" w:rsidR="00B762D9" w:rsidRPr="00BA5F95" w:rsidRDefault="00B762D9" w:rsidP="00B762D9">
      <w:pPr>
        <w:pStyle w:val="Default"/>
      </w:pPr>
      <w:r w:rsidRPr="00BA5F95">
        <w:rPr>
          <w:b/>
          <w:bCs/>
        </w:rPr>
        <w:t xml:space="preserve">Management of Security Incidents </w:t>
      </w:r>
    </w:p>
    <w:p w14:paraId="49860EA2" w14:textId="77777777" w:rsidR="00B762D9" w:rsidRPr="00BA5F95" w:rsidRDefault="00B762D9" w:rsidP="00B762D9">
      <w:pPr>
        <w:pStyle w:val="Default"/>
      </w:pPr>
      <w:r w:rsidRPr="00BA5F95">
        <w:t xml:space="preserve">A consistent and effective approach shall be applied to the management of security incidents. Responsibilities and procedures shall be in place to handle security events and weaknesses effectively once they have been reported. </w:t>
      </w:r>
    </w:p>
    <w:p w14:paraId="36EC290E" w14:textId="77777777" w:rsidR="00B762D9" w:rsidRPr="00BA5F95" w:rsidRDefault="00B762D9" w:rsidP="00B762D9">
      <w:pPr>
        <w:pStyle w:val="Default"/>
      </w:pPr>
    </w:p>
    <w:p w14:paraId="36ABE2BF" w14:textId="77777777" w:rsidR="00B762D9" w:rsidRPr="00BA5F95" w:rsidRDefault="00B762D9" w:rsidP="00B762D9">
      <w:pPr>
        <w:pStyle w:val="Default"/>
      </w:pPr>
      <w:r w:rsidRPr="00BA5F95">
        <w:rPr>
          <w:b/>
          <w:bCs/>
        </w:rPr>
        <w:t xml:space="preserve">Incident Handling </w:t>
      </w:r>
    </w:p>
    <w:p w14:paraId="7B269027" w14:textId="6C5A5CF7" w:rsidR="00B762D9" w:rsidRPr="00BA5F95" w:rsidRDefault="00B762D9" w:rsidP="00B762D9">
      <w:pPr>
        <w:pStyle w:val="Default"/>
      </w:pPr>
      <w:r w:rsidRPr="00BA5F95">
        <w:t>The agency shall implement an incident handling capability for security incidents that includes</w:t>
      </w:r>
      <w:r w:rsidR="005D28F6">
        <w:t>;</w:t>
      </w:r>
      <w:r w:rsidRPr="00BA5F95">
        <w:t xml:space="preserve"> preparation, detection and analysis, containment, eradication, and recovery. Wherever feasible, the agency shall employ automated mechanisms to support the incident handling process. </w:t>
      </w:r>
    </w:p>
    <w:p w14:paraId="11750F0C" w14:textId="77777777" w:rsidR="00B762D9" w:rsidRPr="00BA5F95" w:rsidRDefault="00B762D9" w:rsidP="00B762D9">
      <w:pPr>
        <w:pStyle w:val="Default"/>
      </w:pPr>
    </w:p>
    <w:p w14:paraId="52CF01F8" w14:textId="49B883AE" w:rsidR="00B762D9" w:rsidRPr="00BA5F95" w:rsidRDefault="00B762D9" w:rsidP="00B762D9">
      <w:pPr>
        <w:pStyle w:val="Default"/>
      </w:pPr>
      <w:r w:rsidRPr="00BA5F95">
        <w:t>Incident-related information can be obtained from a variety of sources including, but not limited to</w:t>
      </w:r>
      <w:r w:rsidR="00E7556C">
        <w:t>;</w:t>
      </w:r>
      <w:r w:rsidRPr="00BA5F95">
        <w:t xml:space="preserve"> audit monitoring, network monitoring, physical access monitoring, and user/administrator reports. The agency should incorporate the lessons learned from ongoing incident handling activities into the incident response procedures and implement the procedures accordingly. </w:t>
      </w:r>
    </w:p>
    <w:p w14:paraId="6A8B734A" w14:textId="77777777" w:rsidR="00B762D9" w:rsidRPr="00BA5F95" w:rsidRDefault="00B762D9" w:rsidP="00B762D9">
      <w:pPr>
        <w:pStyle w:val="Default"/>
      </w:pPr>
    </w:p>
    <w:p w14:paraId="02D2C2D1" w14:textId="77777777" w:rsidR="00B762D9" w:rsidRPr="00BA5F95" w:rsidRDefault="00B762D9" w:rsidP="00B762D9">
      <w:pPr>
        <w:pStyle w:val="Default"/>
      </w:pPr>
      <w:r w:rsidRPr="00BA5F95">
        <w:rPr>
          <w:b/>
          <w:bCs/>
        </w:rPr>
        <w:t xml:space="preserve">Collection of Evidence </w:t>
      </w:r>
    </w:p>
    <w:p w14:paraId="6A8872BD" w14:textId="77777777" w:rsidR="00B762D9" w:rsidRPr="00BA5F95" w:rsidRDefault="00B762D9" w:rsidP="00B762D9">
      <w:pPr>
        <w:pStyle w:val="Default"/>
      </w:pPr>
      <w:r w:rsidRPr="00BA5F95">
        <w:t>Where a follow-up action against a person or agency after an information security incident involves legal action (either civil or criminal), evidence shall be collected, retained, and presented to conform to the rules for evidence laid down in the relevant jurisdiction(s).</w:t>
      </w:r>
    </w:p>
    <w:p w14:paraId="0FA699F4" w14:textId="77777777" w:rsidR="00B762D9" w:rsidRPr="00A161D9" w:rsidRDefault="00B762D9" w:rsidP="00B762D9">
      <w:pPr>
        <w:pStyle w:val="Default"/>
        <w:rPr>
          <w:color w:val="auto"/>
        </w:rPr>
      </w:pPr>
    </w:p>
    <w:p w14:paraId="056CCF3B" w14:textId="77777777" w:rsidR="00B762D9" w:rsidRPr="00BA5F95" w:rsidRDefault="00B762D9" w:rsidP="00B762D9">
      <w:pPr>
        <w:pStyle w:val="Default"/>
      </w:pPr>
      <w:r w:rsidRPr="00BA5F95">
        <w:rPr>
          <w:b/>
          <w:bCs/>
        </w:rPr>
        <w:t>Incident Response – Mobile Devices</w:t>
      </w:r>
    </w:p>
    <w:p w14:paraId="3A56B6A4" w14:textId="77777777" w:rsidR="00B762D9" w:rsidRPr="00BA5F95" w:rsidRDefault="00B762D9" w:rsidP="00B762D9">
      <w:pPr>
        <w:pStyle w:val="Default"/>
      </w:pPr>
      <w:r w:rsidRPr="00BA5F95">
        <w:t xml:space="preserve">In addition to the requirements in </w:t>
      </w:r>
      <w:r w:rsidRPr="00BA5F95">
        <w:rPr>
          <w:b/>
        </w:rPr>
        <w:t>Incident Response</w:t>
      </w:r>
      <w:r w:rsidRPr="00BA5F95">
        <w:t xml:space="preserve">, agencies shall develop additional or enhanced incident reporting and handling procedures to address mobile device operating scenarios. Rapid response to mobile device related incidents can significantly mitigate the risks associated with illicit data access either on the device itself or within online data resources associated with the device through an application or specialized interface. </w:t>
      </w:r>
    </w:p>
    <w:p w14:paraId="2BA991DD" w14:textId="77777777" w:rsidR="00B762D9" w:rsidRPr="00BA5F95" w:rsidRDefault="00B762D9" w:rsidP="00B762D9">
      <w:pPr>
        <w:pStyle w:val="Default"/>
      </w:pPr>
    </w:p>
    <w:p w14:paraId="234D8E6C" w14:textId="77777777" w:rsidR="00B762D9" w:rsidRPr="00BA5F95" w:rsidRDefault="00B762D9" w:rsidP="00B762D9">
      <w:pPr>
        <w:pStyle w:val="Default"/>
      </w:pPr>
      <w:r w:rsidRPr="00BA5F95">
        <w:t xml:space="preserve">Special reporting procedures for mobile devices shall apply in any of the following situations: </w:t>
      </w:r>
    </w:p>
    <w:p w14:paraId="715D957B" w14:textId="77777777" w:rsidR="00B762D9" w:rsidRPr="00BA5F95" w:rsidRDefault="00B762D9" w:rsidP="00B762D9">
      <w:pPr>
        <w:pStyle w:val="Default"/>
      </w:pPr>
    </w:p>
    <w:p w14:paraId="2E3C7E21" w14:textId="77777777" w:rsidR="00B762D9" w:rsidRPr="00BA5F95" w:rsidRDefault="00B762D9" w:rsidP="00BA5F95">
      <w:pPr>
        <w:pStyle w:val="NoSpacing"/>
        <w:rPr>
          <w:rFonts w:ascii="Arial" w:hAnsi="Arial" w:cs="Arial"/>
        </w:rPr>
      </w:pPr>
      <w:r w:rsidRPr="00BA5F95">
        <w:rPr>
          <w:rFonts w:ascii="Arial" w:hAnsi="Arial" w:cs="Arial"/>
        </w:rPr>
        <w:t xml:space="preserve">1. Loss of device control. For example: </w:t>
      </w:r>
    </w:p>
    <w:p w14:paraId="61BF87EF" w14:textId="77777777" w:rsidR="00B762D9" w:rsidRPr="00BA5F95" w:rsidRDefault="00B762D9" w:rsidP="00BA5F95">
      <w:pPr>
        <w:pStyle w:val="NoSpacing"/>
        <w:ind w:left="720"/>
        <w:rPr>
          <w:rFonts w:ascii="Arial" w:hAnsi="Arial" w:cs="Arial"/>
        </w:rPr>
      </w:pPr>
      <w:r w:rsidRPr="00BA5F95">
        <w:rPr>
          <w:rFonts w:ascii="Arial" w:hAnsi="Arial" w:cs="Arial"/>
        </w:rPr>
        <w:t xml:space="preserve">a. Device known to be locked, minimal duration of loss </w:t>
      </w:r>
    </w:p>
    <w:p w14:paraId="0BCED4C3" w14:textId="77777777" w:rsidR="00B762D9" w:rsidRPr="00BA5F95" w:rsidRDefault="00B762D9" w:rsidP="00BA5F95">
      <w:pPr>
        <w:pStyle w:val="NoSpacing"/>
        <w:ind w:left="720"/>
        <w:rPr>
          <w:rFonts w:ascii="Arial" w:hAnsi="Arial" w:cs="Arial"/>
        </w:rPr>
      </w:pPr>
      <w:r w:rsidRPr="00BA5F95">
        <w:rPr>
          <w:rFonts w:ascii="Arial" w:hAnsi="Arial" w:cs="Arial"/>
        </w:rPr>
        <w:t xml:space="preserve">b. Device lock state unknown, minimal duration of loss </w:t>
      </w:r>
    </w:p>
    <w:p w14:paraId="18C4F6C3" w14:textId="77777777" w:rsidR="00B762D9" w:rsidRPr="00BA5F95" w:rsidRDefault="00B762D9" w:rsidP="00BA5F95">
      <w:pPr>
        <w:pStyle w:val="NoSpacing"/>
        <w:ind w:left="720"/>
        <w:rPr>
          <w:rFonts w:ascii="Arial" w:hAnsi="Arial" w:cs="Arial"/>
        </w:rPr>
      </w:pPr>
      <w:r w:rsidRPr="00BA5F95">
        <w:rPr>
          <w:rFonts w:ascii="Arial" w:hAnsi="Arial" w:cs="Arial"/>
        </w:rPr>
        <w:t xml:space="preserve">c. Device lock state unknown, extended duration of loss </w:t>
      </w:r>
    </w:p>
    <w:p w14:paraId="573B59F9" w14:textId="77777777" w:rsidR="00B762D9" w:rsidRPr="00BA5F95" w:rsidRDefault="00B762D9" w:rsidP="00BA5F95">
      <w:pPr>
        <w:pStyle w:val="NoSpacing"/>
        <w:ind w:left="720"/>
        <w:rPr>
          <w:rFonts w:ascii="Arial" w:hAnsi="Arial" w:cs="Arial"/>
        </w:rPr>
      </w:pPr>
      <w:r w:rsidRPr="00BA5F95">
        <w:rPr>
          <w:rFonts w:ascii="Arial" w:hAnsi="Arial" w:cs="Arial"/>
        </w:rPr>
        <w:t xml:space="preserve">d. Device known to be unlocked, more than momentary duration of loss </w:t>
      </w:r>
    </w:p>
    <w:p w14:paraId="282B269F" w14:textId="77777777" w:rsidR="00B762D9" w:rsidRPr="00BA5F95" w:rsidRDefault="00B762D9" w:rsidP="00BA5F95">
      <w:pPr>
        <w:pStyle w:val="NoSpacing"/>
        <w:rPr>
          <w:rFonts w:ascii="Arial" w:hAnsi="Arial" w:cs="Arial"/>
        </w:rPr>
      </w:pPr>
      <w:r w:rsidRPr="00BA5F95">
        <w:rPr>
          <w:rFonts w:ascii="Arial" w:hAnsi="Arial" w:cs="Arial"/>
        </w:rPr>
        <w:t xml:space="preserve">2. Total loss of device </w:t>
      </w:r>
    </w:p>
    <w:p w14:paraId="1A757190" w14:textId="77777777" w:rsidR="00B762D9" w:rsidRPr="00BA5F95" w:rsidRDefault="00B762D9" w:rsidP="00BA5F95">
      <w:pPr>
        <w:pStyle w:val="NoSpacing"/>
        <w:rPr>
          <w:rFonts w:ascii="Arial" w:hAnsi="Arial" w:cs="Arial"/>
        </w:rPr>
      </w:pPr>
      <w:r w:rsidRPr="00BA5F95">
        <w:rPr>
          <w:rFonts w:ascii="Arial" w:hAnsi="Arial" w:cs="Arial"/>
        </w:rPr>
        <w:t xml:space="preserve">3. Device compromise </w:t>
      </w:r>
    </w:p>
    <w:p w14:paraId="269265F3" w14:textId="77777777" w:rsidR="00B762D9" w:rsidRPr="00BA5F95" w:rsidRDefault="00B762D9" w:rsidP="00BA5F95">
      <w:pPr>
        <w:pStyle w:val="NoSpacing"/>
        <w:rPr>
          <w:rFonts w:ascii="Arial" w:hAnsi="Arial" w:cs="Arial"/>
          <w:sz w:val="23"/>
          <w:szCs w:val="23"/>
        </w:rPr>
      </w:pPr>
      <w:r w:rsidRPr="00BA5F95">
        <w:rPr>
          <w:rFonts w:ascii="Arial" w:hAnsi="Arial" w:cs="Arial"/>
        </w:rPr>
        <w:t>4. Device loss or compromise outside the United States</w:t>
      </w:r>
      <w:r w:rsidRPr="00BA5F95">
        <w:rPr>
          <w:rFonts w:ascii="Arial" w:hAnsi="Arial" w:cs="Arial"/>
          <w:sz w:val="23"/>
          <w:szCs w:val="23"/>
        </w:rPr>
        <w:t xml:space="preserve"> </w:t>
      </w:r>
    </w:p>
    <w:sectPr w:rsidR="00B762D9" w:rsidRPr="00BA5F95" w:rsidSect="00CE0891">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B9972" w14:textId="77777777" w:rsidR="00545588" w:rsidRDefault="00545588" w:rsidP="000162DB">
      <w:r>
        <w:separator/>
      </w:r>
    </w:p>
  </w:endnote>
  <w:endnote w:type="continuationSeparator" w:id="0">
    <w:p w14:paraId="2205441F" w14:textId="77777777" w:rsidR="00545588" w:rsidRDefault="00545588" w:rsidP="0001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392EA" w14:textId="787CB722" w:rsidR="001A7889" w:rsidRPr="007F2892" w:rsidRDefault="001A7889" w:rsidP="00FF276E">
    <w:pPr>
      <w:pStyle w:val="Footer"/>
      <w:rPr>
        <w:rFonts w:ascii="Arial" w:hAnsi="Arial" w:cs="Arial"/>
        <w:color w:val="FF0000"/>
      </w:rPr>
    </w:pPr>
    <w:r>
      <w:rPr>
        <w:rFonts w:ascii="Arial" w:hAnsi="Arial" w:cs="Arial"/>
        <w:color w:val="FF0000"/>
      </w:rPr>
      <w:t>&lt;INSE</w:t>
    </w:r>
    <w:r w:rsidR="005D28F6">
      <w:rPr>
        <w:rFonts w:ascii="Arial" w:hAnsi="Arial" w:cs="Arial"/>
        <w:color w:val="FF0000"/>
      </w:rPr>
      <w:t xml:space="preserve">RT REVISION DATE&gt;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0801D" w14:textId="77777777" w:rsidR="00545588" w:rsidRDefault="00545588" w:rsidP="000162DB">
      <w:r>
        <w:separator/>
      </w:r>
    </w:p>
  </w:footnote>
  <w:footnote w:type="continuationSeparator" w:id="0">
    <w:p w14:paraId="223E5BE8" w14:textId="77777777" w:rsidR="00545588" w:rsidRDefault="00545588" w:rsidP="00016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96E1C"/>
    <w:multiLevelType w:val="multilevel"/>
    <w:tmpl w:val="BE5667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B06769"/>
    <w:multiLevelType w:val="multilevel"/>
    <w:tmpl w:val="8E6E982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8F52297"/>
    <w:multiLevelType w:val="hybridMultilevel"/>
    <w:tmpl w:val="8F042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C7E3D"/>
    <w:multiLevelType w:val="hybridMultilevel"/>
    <w:tmpl w:val="5A68E0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D1109A"/>
    <w:multiLevelType w:val="hybridMultilevel"/>
    <w:tmpl w:val="6ACC9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1A2C2C"/>
    <w:multiLevelType w:val="hybridMultilevel"/>
    <w:tmpl w:val="2B106D7E"/>
    <w:lvl w:ilvl="0" w:tplc="6E44B39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7091F"/>
    <w:multiLevelType w:val="hybridMultilevel"/>
    <w:tmpl w:val="405A49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D73A1"/>
    <w:multiLevelType w:val="multilevel"/>
    <w:tmpl w:val="BD5AA93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80203150">
    <w:abstractNumId w:val="7"/>
  </w:num>
  <w:num w:numId="2" w16cid:durableId="795949660">
    <w:abstractNumId w:val="0"/>
  </w:num>
  <w:num w:numId="3" w16cid:durableId="1076975816">
    <w:abstractNumId w:val="1"/>
  </w:num>
  <w:num w:numId="4" w16cid:durableId="791359119">
    <w:abstractNumId w:val="3"/>
  </w:num>
  <w:num w:numId="5" w16cid:durableId="806901225">
    <w:abstractNumId w:val="2"/>
  </w:num>
  <w:num w:numId="6" w16cid:durableId="1608467267">
    <w:abstractNumId w:val="5"/>
  </w:num>
  <w:num w:numId="7" w16cid:durableId="992179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4973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46"/>
    <w:rsid w:val="000022C0"/>
    <w:rsid w:val="00003948"/>
    <w:rsid w:val="000162DB"/>
    <w:rsid w:val="000203AE"/>
    <w:rsid w:val="00026B5A"/>
    <w:rsid w:val="00030532"/>
    <w:rsid w:val="00034328"/>
    <w:rsid w:val="000366BB"/>
    <w:rsid w:val="0004573F"/>
    <w:rsid w:val="00046E83"/>
    <w:rsid w:val="00047E17"/>
    <w:rsid w:val="00065611"/>
    <w:rsid w:val="000731F2"/>
    <w:rsid w:val="00094D6C"/>
    <w:rsid w:val="000A0BA6"/>
    <w:rsid w:val="000A3D6E"/>
    <w:rsid w:val="000C1320"/>
    <w:rsid w:val="000C15A3"/>
    <w:rsid w:val="000C35DA"/>
    <w:rsid w:val="000C5210"/>
    <w:rsid w:val="000C70D9"/>
    <w:rsid w:val="000E677D"/>
    <w:rsid w:val="000E710C"/>
    <w:rsid w:val="000F338C"/>
    <w:rsid w:val="00105198"/>
    <w:rsid w:val="0013161E"/>
    <w:rsid w:val="00140306"/>
    <w:rsid w:val="001453BD"/>
    <w:rsid w:val="00151572"/>
    <w:rsid w:val="001727AA"/>
    <w:rsid w:val="00172944"/>
    <w:rsid w:val="00174DF5"/>
    <w:rsid w:val="00175FD4"/>
    <w:rsid w:val="00195C18"/>
    <w:rsid w:val="001966A5"/>
    <w:rsid w:val="001966AC"/>
    <w:rsid w:val="001A7889"/>
    <w:rsid w:val="001B219B"/>
    <w:rsid w:val="001B3924"/>
    <w:rsid w:val="001B4A95"/>
    <w:rsid w:val="001C6ECC"/>
    <w:rsid w:val="001E1520"/>
    <w:rsid w:val="001E23F2"/>
    <w:rsid w:val="0020238D"/>
    <w:rsid w:val="002058FC"/>
    <w:rsid w:val="0021319B"/>
    <w:rsid w:val="002208EA"/>
    <w:rsid w:val="002512F3"/>
    <w:rsid w:val="0029315E"/>
    <w:rsid w:val="002B44FD"/>
    <w:rsid w:val="002B48A8"/>
    <w:rsid w:val="002C2019"/>
    <w:rsid w:val="002C4C90"/>
    <w:rsid w:val="002D06F0"/>
    <w:rsid w:val="002D3D94"/>
    <w:rsid w:val="002D7167"/>
    <w:rsid w:val="002E1E01"/>
    <w:rsid w:val="002F3F8C"/>
    <w:rsid w:val="00300A41"/>
    <w:rsid w:val="00300F50"/>
    <w:rsid w:val="0031792C"/>
    <w:rsid w:val="00331C76"/>
    <w:rsid w:val="00354CE8"/>
    <w:rsid w:val="003624FC"/>
    <w:rsid w:val="00374DF1"/>
    <w:rsid w:val="003844EC"/>
    <w:rsid w:val="0038482B"/>
    <w:rsid w:val="003866D3"/>
    <w:rsid w:val="00387E02"/>
    <w:rsid w:val="00390620"/>
    <w:rsid w:val="003A072D"/>
    <w:rsid w:val="003A7EBB"/>
    <w:rsid w:val="003B1A35"/>
    <w:rsid w:val="003C53F1"/>
    <w:rsid w:val="003C7D1A"/>
    <w:rsid w:val="003D3BB0"/>
    <w:rsid w:val="003E1673"/>
    <w:rsid w:val="003F79EF"/>
    <w:rsid w:val="00403B0F"/>
    <w:rsid w:val="00411B94"/>
    <w:rsid w:val="00415AFE"/>
    <w:rsid w:val="00433645"/>
    <w:rsid w:val="00436E47"/>
    <w:rsid w:val="00440C98"/>
    <w:rsid w:val="0044394F"/>
    <w:rsid w:val="00447C36"/>
    <w:rsid w:val="0046726B"/>
    <w:rsid w:val="00467497"/>
    <w:rsid w:val="004734F3"/>
    <w:rsid w:val="0047463C"/>
    <w:rsid w:val="004851A9"/>
    <w:rsid w:val="00491505"/>
    <w:rsid w:val="00492B9B"/>
    <w:rsid w:val="00495F50"/>
    <w:rsid w:val="00496405"/>
    <w:rsid w:val="004A112C"/>
    <w:rsid w:val="004A3B46"/>
    <w:rsid w:val="004A5373"/>
    <w:rsid w:val="004A5711"/>
    <w:rsid w:val="004B4AAB"/>
    <w:rsid w:val="004F1ED0"/>
    <w:rsid w:val="00500156"/>
    <w:rsid w:val="0051650C"/>
    <w:rsid w:val="00536BAE"/>
    <w:rsid w:val="0054534F"/>
    <w:rsid w:val="00545588"/>
    <w:rsid w:val="005457BD"/>
    <w:rsid w:val="005476CF"/>
    <w:rsid w:val="005624FF"/>
    <w:rsid w:val="005642F9"/>
    <w:rsid w:val="00581EBC"/>
    <w:rsid w:val="00585850"/>
    <w:rsid w:val="00593857"/>
    <w:rsid w:val="005A03DE"/>
    <w:rsid w:val="005A04E8"/>
    <w:rsid w:val="005B5655"/>
    <w:rsid w:val="005C3E32"/>
    <w:rsid w:val="005C48E0"/>
    <w:rsid w:val="005D28F6"/>
    <w:rsid w:val="005D7A7E"/>
    <w:rsid w:val="005E4282"/>
    <w:rsid w:val="005E4D49"/>
    <w:rsid w:val="0060285D"/>
    <w:rsid w:val="00621EB7"/>
    <w:rsid w:val="00635D31"/>
    <w:rsid w:val="006433D0"/>
    <w:rsid w:val="00646341"/>
    <w:rsid w:val="006472DF"/>
    <w:rsid w:val="00663168"/>
    <w:rsid w:val="006678A4"/>
    <w:rsid w:val="006745E0"/>
    <w:rsid w:val="0068563D"/>
    <w:rsid w:val="00695121"/>
    <w:rsid w:val="006A500E"/>
    <w:rsid w:val="006B1326"/>
    <w:rsid w:val="006B1BF2"/>
    <w:rsid w:val="006B57F8"/>
    <w:rsid w:val="006E0749"/>
    <w:rsid w:val="006E1810"/>
    <w:rsid w:val="006E57E6"/>
    <w:rsid w:val="006F4CD5"/>
    <w:rsid w:val="006F77B3"/>
    <w:rsid w:val="00705177"/>
    <w:rsid w:val="0071561B"/>
    <w:rsid w:val="00724E14"/>
    <w:rsid w:val="00732758"/>
    <w:rsid w:val="00740C3A"/>
    <w:rsid w:val="00741AB0"/>
    <w:rsid w:val="00745EB1"/>
    <w:rsid w:val="00747F73"/>
    <w:rsid w:val="00761EF3"/>
    <w:rsid w:val="0078075C"/>
    <w:rsid w:val="007852D9"/>
    <w:rsid w:val="0079629C"/>
    <w:rsid w:val="007A0290"/>
    <w:rsid w:val="007A6438"/>
    <w:rsid w:val="007B380A"/>
    <w:rsid w:val="007B47F6"/>
    <w:rsid w:val="007B5862"/>
    <w:rsid w:val="007C07ED"/>
    <w:rsid w:val="007C1598"/>
    <w:rsid w:val="007C1E29"/>
    <w:rsid w:val="007C2228"/>
    <w:rsid w:val="007F04EF"/>
    <w:rsid w:val="007F2892"/>
    <w:rsid w:val="007F61AA"/>
    <w:rsid w:val="007F7AFF"/>
    <w:rsid w:val="00802629"/>
    <w:rsid w:val="00814276"/>
    <w:rsid w:val="00817DD3"/>
    <w:rsid w:val="00843889"/>
    <w:rsid w:val="0084415E"/>
    <w:rsid w:val="00855A74"/>
    <w:rsid w:val="00870275"/>
    <w:rsid w:val="00884FD7"/>
    <w:rsid w:val="00885056"/>
    <w:rsid w:val="00885E47"/>
    <w:rsid w:val="00887071"/>
    <w:rsid w:val="00893906"/>
    <w:rsid w:val="008A2C0C"/>
    <w:rsid w:val="008A6793"/>
    <w:rsid w:val="008A76A4"/>
    <w:rsid w:val="008B2014"/>
    <w:rsid w:val="008B23E8"/>
    <w:rsid w:val="008B3531"/>
    <w:rsid w:val="008D4A24"/>
    <w:rsid w:val="008E39BA"/>
    <w:rsid w:val="008F5367"/>
    <w:rsid w:val="00911C71"/>
    <w:rsid w:val="00911DE2"/>
    <w:rsid w:val="0091370E"/>
    <w:rsid w:val="009150FB"/>
    <w:rsid w:val="00941013"/>
    <w:rsid w:val="00960863"/>
    <w:rsid w:val="00981326"/>
    <w:rsid w:val="009836DC"/>
    <w:rsid w:val="00985FFE"/>
    <w:rsid w:val="0099409D"/>
    <w:rsid w:val="009A137D"/>
    <w:rsid w:val="009A25B1"/>
    <w:rsid w:val="009A29DD"/>
    <w:rsid w:val="009D31E7"/>
    <w:rsid w:val="009D464A"/>
    <w:rsid w:val="009E1788"/>
    <w:rsid w:val="009E7AEC"/>
    <w:rsid w:val="009F2638"/>
    <w:rsid w:val="00A03F70"/>
    <w:rsid w:val="00A064C8"/>
    <w:rsid w:val="00A06F9F"/>
    <w:rsid w:val="00A11F0B"/>
    <w:rsid w:val="00A161D9"/>
    <w:rsid w:val="00A45F88"/>
    <w:rsid w:val="00A51B52"/>
    <w:rsid w:val="00A60F6B"/>
    <w:rsid w:val="00A84725"/>
    <w:rsid w:val="00A84A23"/>
    <w:rsid w:val="00A938B1"/>
    <w:rsid w:val="00A944D6"/>
    <w:rsid w:val="00AA2986"/>
    <w:rsid w:val="00AA33DA"/>
    <w:rsid w:val="00AB670B"/>
    <w:rsid w:val="00AD1301"/>
    <w:rsid w:val="00AD4A60"/>
    <w:rsid w:val="00AE3D7D"/>
    <w:rsid w:val="00B008F0"/>
    <w:rsid w:val="00B031B4"/>
    <w:rsid w:val="00B03A07"/>
    <w:rsid w:val="00B04F1E"/>
    <w:rsid w:val="00B1012A"/>
    <w:rsid w:val="00B37032"/>
    <w:rsid w:val="00B41A12"/>
    <w:rsid w:val="00B46623"/>
    <w:rsid w:val="00B47ABE"/>
    <w:rsid w:val="00B70BA2"/>
    <w:rsid w:val="00B762D9"/>
    <w:rsid w:val="00B962E1"/>
    <w:rsid w:val="00BA5F95"/>
    <w:rsid w:val="00BB15EE"/>
    <w:rsid w:val="00BC49AA"/>
    <w:rsid w:val="00BC7C6D"/>
    <w:rsid w:val="00BD0C0F"/>
    <w:rsid w:val="00BE1225"/>
    <w:rsid w:val="00BE33F7"/>
    <w:rsid w:val="00BE4634"/>
    <w:rsid w:val="00BE7312"/>
    <w:rsid w:val="00C22F1F"/>
    <w:rsid w:val="00C33B18"/>
    <w:rsid w:val="00C34E82"/>
    <w:rsid w:val="00C4447B"/>
    <w:rsid w:val="00C45D0A"/>
    <w:rsid w:val="00C73CB0"/>
    <w:rsid w:val="00C7626F"/>
    <w:rsid w:val="00C83CC3"/>
    <w:rsid w:val="00CA732C"/>
    <w:rsid w:val="00CB02ED"/>
    <w:rsid w:val="00CB38A4"/>
    <w:rsid w:val="00CB3AC2"/>
    <w:rsid w:val="00CB7D8A"/>
    <w:rsid w:val="00CD49A1"/>
    <w:rsid w:val="00CD72AF"/>
    <w:rsid w:val="00CE0891"/>
    <w:rsid w:val="00CE5452"/>
    <w:rsid w:val="00CF0DCC"/>
    <w:rsid w:val="00CF3889"/>
    <w:rsid w:val="00D0431B"/>
    <w:rsid w:val="00D0795E"/>
    <w:rsid w:val="00D156F1"/>
    <w:rsid w:val="00D16A9D"/>
    <w:rsid w:val="00D2297B"/>
    <w:rsid w:val="00D33BE4"/>
    <w:rsid w:val="00D627D7"/>
    <w:rsid w:val="00D636C4"/>
    <w:rsid w:val="00D7554D"/>
    <w:rsid w:val="00D7560D"/>
    <w:rsid w:val="00D90C74"/>
    <w:rsid w:val="00D92BCC"/>
    <w:rsid w:val="00D934F6"/>
    <w:rsid w:val="00DB4F32"/>
    <w:rsid w:val="00DB786F"/>
    <w:rsid w:val="00DC3809"/>
    <w:rsid w:val="00DC605C"/>
    <w:rsid w:val="00DD024B"/>
    <w:rsid w:val="00DE4A4F"/>
    <w:rsid w:val="00DF463D"/>
    <w:rsid w:val="00E02051"/>
    <w:rsid w:val="00E04722"/>
    <w:rsid w:val="00E124D4"/>
    <w:rsid w:val="00E2136F"/>
    <w:rsid w:val="00E300DA"/>
    <w:rsid w:val="00E31C00"/>
    <w:rsid w:val="00E46499"/>
    <w:rsid w:val="00E60DF4"/>
    <w:rsid w:val="00E66D9E"/>
    <w:rsid w:val="00E67F8E"/>
    <w:rsid w:val="00E7556C"/>
    <w:rsid w:val="00E868CC"/>
    <w:rsid w:val="00E929B4"/>
    <w:rsid w:val="00E92A02"/>
    <w:rsid w:val="00E97E30"/>
    <w:rsid w:val="00EA3214"/>
    <w:rsid w:val="00EA3F07"/>
    <w:rsid w:val="00EB1036"/>
    <w:rsid w:val="00EB4CE7"/>
    <w:rsid w:val="00EC12A4"/>
    <w:rsid w:val="00EC1DE7"/>
    <w:rsid w:val="00EC40F9"/>
    <w:rsid w:val="00EC5A25"/>
    <w:rsid w:val="00ED38BB"/>
    <w:rsid w:val="00EE5D6E"/>
    <w:rsid w:val="00EF72A9"/>
    <w:rsid w:val="00F00F4A"/>
    <w:rsid w:val="00F17585"/>
    <w:rsid w:val="00F24933"/>
    <w:rsid w:val="00F360FA"/>
    <w:rsid w:val="00F43A43"/>
    <w:rsid w:val="00F47263"/>
    <w:rsid w:val="00F571F4"/>
    <w:rsid w:val="00F64321"/>
    <w:rsid w:val="00F91E76"/>
    <w:rsid w:val="00FB22BE"/>
    <w:rsid w:val="00FD161D"/>
    <w:rsid w:val="00FD4146"/>
    <w:rsid w:val="00FE0B5F"/>
    <w:rsid w:val="00FE5804"/>
    <w:rsid w:val="00FE7BEA"/>
    <w:rsid w:val="00FF276E"/>
    <w:rsid w:val="00FF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4A24B"/>
  <w15:docId w15:val="{D67B66BB-A245-46A4-8700-54C32E94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8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62DB"/>
    <w:pPr>
      <w:tabs>
        <w:tab w:val="center" w:pos="4680"/>
        <w:tab w:val="right" w:pos="9360"/>
      </w:tabs>
    </w:pPr>
  </w:style>
  <w:style w:type="character" w:customStyle="1" w:styleId="HeaderChar">
    <w:name w:val="Header Char"/>
    <w:basedOn w:val="DefaultParagraphFont"/>
    <w:link w:val="Header"/>
    <w:rsid w:val="000162DB"/>
    <w:rPr>
      <w:sz w:val="24"/>
      <w:szCs w:val="24"/>
    </w:rPr>
  </w:style>
  <w:style w:type="paragraph" w:styleId="Footer">
    <w:name w:val="footer"/>
    <w:basedOn w:val="Normal"/>
    <w:link w:val="FooterChar"/>
    <w:uiPriority w:val="99"/>
    <w:rsid w:val="000162DB"/>
    <w:pPr>
      <w:tabs>
        <w:tab w:val="center" w:pos="4680"/>
        <w:tab w:val="right" w:pos="9360"/>
      </w:tabs>
    </w:pPr>
  </w:style>
  <w:style w:type="character" w:customStyle="1" w:styleId="FooterChar">
    <w:name w:val="Footer Char"/>
    <w:basedOn w:val="DefaultParagraphFont"/>
    <w:link w:val="Footer"/>
    <w:uiPriority w:val="99"/>
    <w:rsid w:val="000162DB"/>
    <w:rPr>
      <w:sz w:val="24"/>
      <w:szCs w:val="24"/>
    </w:rPr>
  </w:style>
  <w:style w:type="paragraph" w:styleId="BalloonText">
    <w:name w:val="Balloon Text"/>
    <w:basedOn w:val="Normal"/>
    <w:link w:val="BalloonTextChar"/>
    <w:rsid w:val="000162DB"/>
    <w:rPr>
      <w:rFonts w:ascii="Tahoma" w:hAnsi="Tahoma" w:cs="Tahoma"/>
      <w:sz w:val="16"/>
      <w:szCs w:val="16"/>
    </w:rPr>
  </w:style>
  <w:style w:type="character" w:customStyle="1" w:styleId="BalloonTextChar">
    <w:name w:val="Balloon Text Char"/>
    <w:basedOn w:val="DefaultParagraphFont"/>
    <w:link w:val="BalloonText"/>
    <w:rsid w:val="000162DB"/>
    <w:rPr>
      <w:rFonts w:ascii="Tahoma" w:hAnsi="Tahoma" w:cs="Tahoma"/>
      <w:sz w:val="16"/>
      <w:szCs w:val="16"/>
    </w:rPr>
  </w:style>
  <w:style w:type="table" w:styleId="DarkList-Accent2">
    <w:name w:val="Dark List Accent 2"/>
    <w:basedOn w:val="TableNormal"/>
    <w:uiPriority w:val="70"/>
    <w:rsid w:val="0081427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styleId="ListParagraph">
    <w:name w:val="List Paragraph"/>
    <w:basedOn w:val="Normal"/>
    <w:uiPriority w:val="34"/>
    <w:qFormat/>
    <w:rsid w:val="00AA33DA"/>
    <w:pPr>
      <w:ind w:left="720"/>
    </w:pPr>
  </w:style>
  <w:style w:type="character" w:styleId="Hyperlink">
    <w:name w:val="Hyperlink"/>
    <w:basedOn w:val="DefaultParagraphFont"/>
    <w:rsid w:val="00960863"/>
    <w:rPr>
      <w:color w:val="0000FF" w:themeColor="hyperlink"/>
      <w:u w:val="single"/>
    </w:rPr>
  </w:style>
  <w:style w:type="character" w:styleId="FollowedHyperlink">
    <w:name w:val="FollowedHyperlink"/>
    <w:basedOn w:val="DefaultParagraphFont"/>
    <w:rsid w:val="00FF276E"/>
    <w:rPr>
      <w:color w:val="800080" w:themeColor="followedHyperlink"/>
      <w:u w:val="single"/>
    </w:rPr>
  </w:style>
  <w:style w:type="paragraph" w:customStyle="1" w:styleId="Default">
    <w:name w:val="Default"/>
    <w:rsid w:val="00B762D9"/>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semiHidden/>
    <w:unhideWhenUsed/>
    <w:rsid w:val="00A161D9"/>
    <w:rPr>
      <w:sz w:val="16"/>
      <w:szCs w:val="16"/>
    </w:rPr>
  </w:style>
  <w:style w:type="paragraph" w:styleId="CommentText">
    <w:name w:val="annotation text"/>
    <w:basedOn w:val="Normal"/>
    <w:link w:val="CommentTextChar"/>
    <w:semiHidden/>
    <w:unhideWhenUsed/>
    <w:rsid w:val="00A161D9"/>
    <w:rPr>
      <w:sz w:val="20"/>
      <w:szCs w:val="20"/>
    </w:rPr>
  </w:style>
  <w:style w:type="character" w:customStyle="1" w:styleId="CommentTextChar">
    <w:name w:val="Comment Text Char"/>
    <w:basedOn w:val="DefaultParagraphFont"/>
    <w:link w:val="CommentText"/>
    <w:semiHidden/>
    <w:rsid w:val="00A161D9"/>
  </w:style>
  <w:style w:type="paragraph" w:styleId="CommentSubject">
    <w:name w:val="annotation subject"/>
    <w:basedOn w:val="CommentText"/>
    <w:next w:val="CommentText"/>
    <w:link w:val="CommentSubjectChar"/>
    <w:semiHidden/>
    <w:unhideWhenUsed/>
    <w:rsid w:val="00A161D9"/>
    <w:rPr>
      <w:b/>
      <w:bCs/>
    </w:rPr>
  </w:style>
  <w:style w:type="character" w:customStyle="1" w:styleId="CommentSubjectChar">
    <w:name w:val="Comment Subject Char"/>
    <w:basedOn w:val="CommentTextChar"/>
    <w:link w:val="CommentSubject"/>
    <w:semiHidden/>
    <w:rsid w:val="00A161D9"/>
    <w:rPr>
      <w:b/>
      <w:bCs/>
    </w:rPr>
  </w:style>
  <w:style w:type="paragraph" w:styleId="NoSpacing">
    <w:name w:val="No Spacing"/>
    <w:uiPriority w:val="1"/>
    <w:qFormat/>
    <w:rsid w:val="00BA5F95"/>
    <w:rPr>
      <w:sz w:val="24"/>
      <w:szCs w:val="24"/>
    </w:rPr>
  </w:style>
  <w:style w:type="character" w:styleId="UnresolvedMention">
    <w:name w:val="Unresolved Mention"/>
    <w:basedOn w:val="DefaultParagraphFont"/>
    <w:uiPriority w:val="99"/>
    <w:semiHidden/>
    <w:unhideWhenUsed/>
    <w:rsid w:val="009A1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034539">
      <w:bodyDiv w:val="1"/>
      <w:marLeft w:val="0"/>
      <w:marRight w:val="0"/>
      <w:marTop w:val="0"/>
      <w:marBottom w:val="0"/>
      <w:divBdr>
        <w:top w:val="none" w:sz="0" w:space="0" w:color="auto"/>
        <w:left w:val="none" w:sz="0" w:space="0" w:color="auto"/>
        <w:bottom w:val="none" w:sz="0" w:space="0" w:color="auto"/>
        <w:right w:val="none" w:sz="0" w:space="0" w:color="auto"/>
      </w:divBdr>
    </w:div>
    <w:div w:id="21466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sp.wa.gov/wp-content/uploads/2023/12/230011_ACCESS_CJIS_Security_Incident_Report_R_6-23.pdf" TargetMode="External"/><Relationship Id="rId3" Type="http://schemas.openxmlformats.org/officeDocument/2006/relationships/settings" Target="settings.xml"/><Relationship Id="rId7" Type="http://schemas.openxmlformats.org/officeDocument/2006/relationships/hyperlink" Target="mailto:ACCESS@wsp.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ACCESS</vt:lpstr>
    </vt:vector>
  </TitlesOfParts>
  <Company>Washington State Patrol</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WSP</dc:creator>
  <cp:lastModifiedBy>Washington State Patrol</cp:lastModifiedBy>
  <cp:revision>2</cp:revision>
  <cp:lastPrinted>2013-01-27T21:46:00Z</cp:lastPrinted>
  <dcterms:created xsi:type="dcterms:W3CDTF">2025-07-17T12:43:00Z</dcterms:created>
  <dcterms:modified xsi:type="dcterms:W3CDTF">2025-07-17T12:43:00Z</dcterms:modified>
</cp:coreProperties>
</file>